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C1" w:rsidRDefault="00A01EC1" w:rsidP="00A01EC1">
      <w:pPr>
        <w:rPr>
          <w:rFonts w:ascii="Times New Roman" w:hAnsi="Times New Roman"/>
          <w:b/>
          <w:sz w:val="28"/>
          <w:szCs w:val="28"/>
        </w:rPr>
      </w:pPr>
      <w:r w:rsidRPr="00C920FF">
        <w:rPr>
          <w:rFonts w:ascii="Times New Roman" w:hAnsi="Times New Roman"/>
          <w:b/>
          <w:sz w:val="28"/>
          <w:szCs w:val="28"/>
        </w:rPr>
        <w:t>Учебно</w:t>
      </w:r>
      <w:r w:rsidR="00163578">
        <w:rPr>
          <w:rFonts w:ascii="Times New Roman" w:hAnsi="Times New Roman"/>
          <w:b/>
          <w:sz w:val="28"/>
          <w:szCs w:val="28"/>
        </w:rPr>
        <w:t xml:space="preserve">-методический комплекс </w:t>
      </w:r>
      <w:proofErr w:type="spellStart"/>
      <w:r w:rsidR="00163578">
        <w:rPr>
          <w:rFonts w:ascii="Times New Roman" w:hAnsi="Times New Roman"/>
          <w:b/>
          <w:sz w:val="28"/>
          <w:szCs w:val="28"/>
        </w:rPr>
        <w:t>КазНУ</w:t>
      </w:r>
      <w:proofErr w:type="spellEnd"/>
      <w:r w:rsidR="00163578">
        <w:rPr>
          <w:rFonts w:ascii="Times New Roman" w:hAnsi="Times New Roman"/>
          <w:b/>
          <w:sz w:val="28"/>
          <w:szCs w:val="28"/>
        </w:rPr>
        <w:t xml:space="preserve"> имени </w:t>
      </w:r>
      <w:proofErr w:type="spellStart"/>
      <w:r w:rsidR="00163578">
        <w:rPr>
          <w:rFonts w:ascii="Times New Roman" w:hAnsi="Times New Roman"/>
          <w:b/>
          <w:sz w:val="28"/>
          <w:szCs w:val="28"/>
        </w:rPr>
        <w:t>а</w:t>
      </w:r>
      <w:r w:rsidRPr="00C920FF">
        <w:rPr>
          <w:rFonts w:ascii="Times New Roman" w:hAnsi="Times New Roman"/>
          <w:b/>
          <w:sz w:val="28"/>
          <w:szCs w:val="28"/>
        </w:rPr>
        <w:t>ль-Фараби</w:t>
      </w:r>
      <w:proofErr w:type="spellEnd"/>
    </w:p>
    <w:p w:rsidR="00A01EC1" w:rsidRPr="00424FFF" w:rsidRDefault="00C46D2D" w:rsidP="00C46D2D">
      <w:pPr>
        <w:jc w:val="right"/>
        <w:rPr>
          <w:rFonts w:ascii="Times New Roman" w:hAnsi="Times New Roman"/>
          <w:sz w:val="28"/>
          <w:szCs w:val="28"/>
        </w:rPr>
      </w:pPr>
      <w:r w:rsidRPr="00424FFF">
        <w:rPr>
          <w:rFonts w:ascii="Times New Roman" w:hAnsi="Times New Roman"/>
          <w:sz w:val="28"/>
          <w:szCs w:val="28"/>
        </w:rPr>
        <w:t>Специальность:</w:t>
      </w:r>
      <w:r w:rsidR="00424FFF">
        <w:rPr>
          <w:rFonts w:ascii="Times New Roman" w:hAnsi="Times New Roman"/>
          <w:sz w:val="28"/>
          <w:szCs w:val="28"/>
        </w:rPr>
        <w:t xml:space="preserve"> </w:t>
      </w:r>
      <w:r w:rsidR="00163578">
        <w:rPr>
          <w:rFonts w:ascii="Times New Roman" w:hAnsi="Times New Roman"/>
          <w:sz w:val="28"/>
          <w:szCs w:val="28"/>
        </w:rPr>
        <w:t>ю</w:t>
      </w:r>
      <w:r w:rsidR="00424FFF" w:rsidRPr="00424FFF">
        <w:rPr>
          <w:rFonts w:ascii="Times New Roman" w:hAnsi="Times New Roman"/>
          <w:sz w:val="28"/>
          <w:szCs w:val="28"/>
        </w:rPr>
        <w:t>риспруденция</w:t>
      </w:r>
    </w:p>
    <w:p w:rsidR="00424FFF" w:rsidRPr="00424FFF" w:rsidRDefault="00A01EC1" w:rsidP="00A01EC1">
      <w:pPr>
        <w:jc w:val="right"/>
        <w:rPr>
          <w:rFonts w:ascii="Times New Roman" w:hAnsi="Times New Roman"/>
          <w:sz w:val="28"/>
          <w:szCs w:val="28"/>
        </w:rPr>
      </w:pPr>
      <w:r w:rsidRPr="00424FFF">
        <w:rPr>
          <w:rFonts w:ascii="Times New Roman" w:hAnsi="Times New Roman"/>
          <w:sz w:val="28"/>
          <w:szCs w:val="28"/>
        </w:rPr>
        <w:t xml:space="preserve">Шифр: </w:t>
      </w:r>
      <w:r w:rsidR="00163578">
        <w:rPr>
          <w:rFonts w:ascii="Times New Roman" w:hAnsi="Times New Roman"/>
          <w:sz w:val="28"/>
          <w:szCs w:val="28"/>
        </w:rPr>
        <w:t>5В</w:t>
      </w:r>
      <w:r w:rsidR="00424FFF" w:rsidRPr="00424FFF">
        <w:rPr>
          <w:rFonts w:ascii="Times New Roman" w:hAnsi="Times New Roman"/>
          <w:sz w:val="28"/>
          <w:szCs w:val="28"/>
        </w:rPr>
        <w:t>030100</w:t>
      </w:r>
    </w:p>
    <w:p w:rsidR="00A01EC1" w:rsidRPr="00424FFF" w:rsidRDefault="00163578" w:rsidP="00A01E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</w:t>
      </w:r>
      <w:r w:rsidR="00A01EC1" w:rsidRPr="00424FF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Налоговое право РК</w:t>
      </w:r>
      <w:r w:rsidR="00DD6CF7" w:rsidRPr="00424FFF">
        <w:rPr>
          <w:rFonts w:ascii="Times New Roman" w:hAnsi="Times New Roman"/>
          <w:sz w:val="28"/>
          <w:szCs w:val="28"/>
        </w:rPr>
        <w:t xml:space="preserve"> </w:t>
      </w:r>
    </w:p>
    <w:p w:rsidR="00A01EC1" w:rsidRDefault="00A01EC1" w:rsidP="00A01EC1">
      <w:pPr>
        <w:pStyle w:val="a3"/>
        <w:jc w:val="right"/>
        <w:rPr>
          <w:sz w:val="28"/>
          <w:szCs w:val="28"/>
        </w:rPr>
      </w:pPr>
    </w:p>
    <w:p w:rsidR="00A01EC1" w:rsidRDefault="00A01EC1" w:rsidP="00A01EC1">
      <w:pPr>
        <w:jc w:val="right"/>
        <w:rPr>
          <w:rFonts w:ascii="Times New Roman" w:hAnsi="Times New Roman"/>
          <w:sz w:val="28"/>
          <w:szCs w:val="28"/>
        </w:rPr>
      </w:pPr>
    </w:p>
    <w:p w:rsidR="00A01EC1" w:rsidRPr="008426E4" w:rsidRDefault="00A01EC1" w:rsidP="00A01EC1">
      <w:pPr>
        <w:rPr>
          <w:rFonts w:ascii="Times New Roman" w:hAnsi="Times New Roman"/>
          <w:b/>
          <w:sz w:val="32"/>
          <w:szCs w:val="32"/>
        </w:rPr>
      </w:pPr>
      <w:r w:rsidRPr="008426E4">
        <w:rPr>
          <w:rFonts w:ascii="Times New Roman" w:hAnsi="Times New Roman"/>
          <w:b/>
          <w:sz w:val="32"/>
          <w:szCs w:val="32"/>
        </w:rPr>
        <w:t xml:space="preserve">Содержание семинарских занятий </w:t>
      </w:r>
    </w:p>
    <w:p w:rsidR="00163578" w:rsidRPr="008426E4" w:rsidRDefault="00A01EC1" w:rsidP="00EC5D18">
      <w:pPr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1. </w:t>
      </w:r>
      <w:r w:rsidR="00C6729A" w:rsidRPr="008426E4">
        <w:rPr>
          <w:rFonts w:ascii="Times New Roman" w:hAnsi="Times New Roman"/>
          <w:sz w:val="32"/>
          <w:szCs w:val="32"/>
        </w:rPr>
        <w:t xml:space="preserve">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Понятие налогового права, предмет, методы, система и источники налогового права, место налогового права в системе права</w:t>
      </w:r>
      <w:r w:rsidR="001F2A06" w:rsidRPr="008426E4">
        <w:rPr>
          <w:rFonts w:ascii="Times New Roman" w:hAnsi="Times New Roman"/>
          <w:sz w:val="32"/>
          <w:szCs w:val="32"/>
          <w:lang w:val="kk-KZ"/>
        </w:rPr>
        <w:t>.</w:t>
      </w:r>
    </w:p>
    <w:p w:rsidR="00424FFF" w:rsidRPr="008426E4" w:rsidRDefault="00A01EC1" w:rsidP="00EC5D18">
      <w:pPr>
        <w:spacing w:before="0" w:after="0"/>
        <w:jc w:val="both"/>
        <w:rPr>
          <w:rFonts w:ascii="Times New Roman" w:eastAsia="Times New Roman" w:hAnsi="Times New Roman"/>
          <w:bCs/>
          <w:iCs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>Семинар 2</w:t>
      </w:r>
      <w:r w:rsidR="00A871D8" w:rsidRPr="008426E4">
        <w:rPr>
          <w:rFonts w:ascii="Times New Roman" w:hAnsi="Times New Roman"/>
          <w:sz w:val="32"/>
          <w:szCs w:val="32"/>
        </w:rPr>
        <w:t xml:space="preserve">.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Налогово-правовые нормы и отношения.</w:t>
      </w:r>
    </w:p>
    <w:p w:rsidR="00424FFF" w:rsidRPr="008426E4" w:rsidRDefault="00A01EC1" w:rsidP="00EC5D18">
      <w:pPr>
        <w:pStyle w:val="a5"/>
        <w:rPr>
          <w:sz w:val="32"/>
          <w:szCs w:val="32"/>
        </w:rPr>
      </w:pPr>
      <w:r w:rsidRPr="008426E4">
        <w:rPr>
          <w:sz w:val="32"/>
          <w:szCs w:val="32"/>
        </w:rPr>
        <w:t>Семинар 3.</w:t>
      </w:r>
      <w:r w:rsidRPr="008426E4">
        <w:rPr>
          <w:sz w:val="32"/>
          <w:szCs w:val="32"/>
          <w:lang w:eastAsia="ko-KR"/>
        </w:rPr>
        <w:t xml:space="preserve"> </w:t>
      </w:r>
      <w:r w:rsidR="00A871D8" w:rsidRPr="008426E4">
        <w:rPr>
          <w:sz w:val="32"/>
          <w:szCs w:val="32"/>
          <w:lang w:val="kk-KZ"/>
        </w:rPr>
        <w:t>Понятие налога, его элементы, виды и функции.</w:t>
      </w:r>
    </w:p>
    <w:p w:rsidR="00424FFF" w:rsidRPr="008426E4" w:rsidRDefault="00A01EC1" w:rsidP="00EC5D18">
      <w:pPr>
        <w:spacing w:before="0" w:after="0"/>
        <w:jc w:val="both"/>
        <w:rPr>
          <w:rFonts w:ascii="Times New Roman" w:hAnsi="Times New Roman"/>
          <w:sz w:val="32"/>
          <w:szCs w:val="32"/>
          <w:lang w:val="kk-KZ"/>
        </w:rPr>
      </w:pPr>
      <w:r w:rsidRPr="008426E4">
        <w:rPr>
          <w:rFonts w:ascii="Times New Roman" w:hAnsi="Times New Roman"/>
          <w:sz w:val="32"/>
          <w:szCs w:val="32"/>
        </w:rPr>
        <w:t>Семинар 4.</w:t>
      </w:r>
      <w:r w:rsidR="00424FFF" w:rsidRPr="008426E4">
        <w:rPr>
          <w:rStyle w:val="60"/>
          <w:rFonts w:ascii="Times New Roman" w:hAnsi="Times New Roman" w:cs="Times New Roman"/>
          <w:sz w:val="32"/>
          <w:szCs w:val="32"/>
        </w:rPr>
        <w:t xml:space="preserve"> </w:t>
      </w:r>
      <w:r w:rsidR="00424FFF" w:rsidRPr="008426E4">
        <w:rPr>
          <w:rFonts w:ascii="Times New Roman" w:hAnsi="Times New Roman"/>
          <w:snapToGrid w:val="0"/>
          <w:sz w:val="32"/>
          <w:szCs w:val="32"/>
        </w:rPr>
        <w:t xml:space="preserve">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Налогообложение и налоговая деятельность государства.</w:t>
      </w:r>
    </w:p>
    <w:p w:rsidR="00424FFF" w:rsidRPr="008426E4" w:rsidRDefault="00A01EC1" w:rsidP="00EC5D1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5.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Правовые основы налоговых обязательств.</w:t>
      </w:r>
    </w:p>
    <w:p w:rsidR="00424FFF" w:rsidRPr="008426E4" w:rsidRDefault="00A01EC1" w:rsidP="00EC5D18">
      <w:pPr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6.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Правовые основы налогового контроля.</w:t>
      </w:r>
    </w:p>
    <w:p w:rsidR="00424FFF" w:rsidRPr="008426E4" w:rsidRDefault="00A01EC1" w:rsidP="00EC5D18">
      <w:pPr>
        <w:tabs>
          <w:tab w:val="left" w:pos="1783"/>
          <w:tab w:val="left" w:pos="1817"/>
        </w:tabs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>Семинар 7.</w:t>
      </w:r>
      <w:r w:rsidRPr="008426E4">
        <w:rPr>
          <w:rFonts w:ascii="Times New Roman" w:hAnsi="Times New Roman"/>
          <w:bCs/>
          <w:sz w:val="32"/>
          <w:szCs w:val="32"/>
        </w:rPr>
        <w:t xml:space="preserve">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Индивидуальный подоходный налог. Корпоративный подоходный налог.</w:t>
      </w:r>
    </w:p>
    <w:p w:rsidR="00163578" w:rsidRPr="008426E4" w:rsidRDefault="00A01EC1" w:rsidP="00EC5D1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32"/>
          <w:szCs w:val="32"/>
          <w:lang w:eastAsia="ko-KR"/>
        </w:rPr>
      </w:pPr>
      <w:r w:rsidRPr="008426E4">
        <w:rPr>
          <w:rFonts w:ascii="Times New Roman" w:hAnsi="Times New Roman"/>
          <w:sz w:val="32"/>
          <w:szCs w:val="32"/>
        </w:rPr>
        <w:t>Семинар 8.</w:t>
      </w:r>
      <w:r w:rsidRPr="008426E4">
        <w:rPr>
          <w:rFonts w:ascii="Times New Roman" w:hAnsi="Times New Roman"/>
          <w:sz w:val="32"/>
          <w:szCs w:val="32"/>
          <w:lang w:eastAsia="ko-KR"/>
        </w:rPr>
        <w:t xml:space="preserve">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Социальный налог.</w:t>
      </w:r>
      <w:r w:rsidR="00A871D8" w:rsidRPr="008426E4">
        <w:rPr>
          <w:rFonts w:ascii="Times New Roman" w:hAnsi="Times New Roman"/>
          <w:sz w:val="32"/>
          <w:szCs w:val="32"/>
          <w:shd w:val="clear" w:color="auto" w:fill="FFFFFF"/>
        </w:rPr>
        <w:t>Рентный налог на экспорт.</w:t>
      </w:r>
      <w:bookmarkStart w:id="0" w:name="z545"/>
      <w:bookmarkEnd w:id="0"/>
      <w:r w:rsidR="00A871D8" w:rsidRPr="008426E4">
        <w:rPr>
          <w:rFonts w:ascii="Times New Roman" w:hAnsi="Times New Roman"/>
          <w:sz w:val="32"/>
          <w:szCs w:val="32"/>
          <w:shd w:val="clear" w:color="auto" w:fill="FFFFFF"/>
        </w:rPr>
        <w:t xml:space="preserve"> Специальные платежи и налоги </w:t>
      </w:r>
      <w:proofErr w:type="spellStart"/>
      <w:r w:rsidR="00A871D8" w:rsidRPr="008426E4">
        <w:rPr>
          <w:rFonts w:ascii="Times New Roman" w:hAnsi="Times New Roman"/>
          <w:sz w:val="32"/>
          <w:szCs w:val="32"/>
          <w:shd w:val="clear" w:color="auto" w:fill="FFFFFF"/>
        </w:rPr>
        <w:t>недропользователей</w:t>
      </w:r>
      <w:proofErr w:type="spellEnd"/>
      <w:r w:rsidR="00A871D8" w:rsidRPr="008426E4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C6729A" w:rsidRPr="008426E4" w:rsidRDefault="00A01EC1" w:rsidP="00EC5D18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9. </w:t>
      </w:r>
      <w:r w:rsidR="00A871D8" w:rsidRPr="008426E4">
        <w:rPr>
          <w:rFonts w:ascii="Times New Roman" w:hAnsi="Times New Roman"/>
          <w:sz w:val="32"/>
          <w:szCs w:val="32"/>
        </w:rPr>
        <w:t>Земельный налог. Единый земельный налог. Налог на транспортные средства. Налог на имущество.</w:t>
      </w:r>
    </w:p>
    <w:p w:rsidR="00163578" w:rsidRPr="008426E4" w:rsidRDefault="00A01EC1" w:rsidP="00EC5D1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10. </w:t>
      </w:r>
      <w:r w:rsidR="00A871D8" w:rsidRPr="008426E4">
        <w:rPr>
          <w:rFonts w:ascii="Times New Roman" w:hAnsi="Times New Roman"/>
          <w:sz w:val="32"/>
          <w:szCs w:val="32"/>
        </w:rPr>
        <w:t>Акцизы. Налог на добавленную стоимость.</w:t>
      </w:r>
    </w:p>
    <w:p w:rsidR="00424FFF" w:rsidRPr="008426E4" w:rsidRDefault="00A01EC1" w:rsidP="00EC5D1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11.  </w:t>
      </w:r>
      <w:r w:rsidR="00A871D8" w:rsidRPr="008426E4">
        <w:rPr>
          <w:rFonts w:ascii="Times New Roman" w:hAnsi="Times New Roman"/>
          <w:sz w:val="32"/>
          <w:szCs w:val="32"/>
        </w:rPr>
        <w:t>Налог на игорный бизнес. Фиксированный налог.</w:t>
      </w:r>
    </w:p>
    <w:p w:rsidR="00C6729A" w:rsidRPr="008426E4" w:rsidRDefault="00A01EC1" w:rsidP="00EC5D1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12. </w:t>
      </w:r>
      <w:r w:rsidR="00A871D8" w:rsidRPr="008426E4">
        <w:rPr>
          <w:rFonts w:ascii="Times New Roman" w:hAnsi="Times New Roman"/>
          <w:sz w:val="32"/>
          <w:szCs w:val="32"/>
          <w:shd w:val="clear" w:color="auto" w:fill="FFFFFF"/>
        </w:rPr>
        <w:t>Другие обязательные платежи в бюджет. Государственная пошлина. Сборы.</w:t>
      </w:r>
    </w:p>
    <w:p w:rsidR="00163578" w:rsidRPr="008426E4" w:rsidRDefault="00A01EC1" w:rsidP="00EC5D18">
      <w:pPr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13.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Плата. Таможенные платежи.</w:t>
      </w:r>
    </w:p>
    <w:p w:rsidR="00424FFF" w:rsidRPr="008426E4" w:rsidRDefault="00A01EC1" w:rsidP="00EC5D18">
      <w:pPr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>Семинар 14.</w:t>
      </w:r>
      <w:r w:rsidRPr="008426E4">
        <w:rPr>
          <w:rStyle w:val="30"/>
          <w:rFonts w:ascii="Times New Roman" w:eastAsia="Calibri" w:hAnsi="Times New Roman" w:cs="Times New Roman"/>
          <w:sz w:val="32"/>
          <w:szCs w:val="32"/>
        </w:rPr>
        <w:t xml:space="preserve"> </w:t>
      </w:r>
      <w:r w:rsidR="00A871D8" w:rsidRPr="008426E4">
        <w:rPr>
          <w:rFonts w:ascii="Times New Roman" w:hAnsi="Times New Roman"/>
          <w:sz w:val="32"/>
          <w:szCs w:val="32"/>
        </w:rPr>
        <w:t>Специальные налоговые режимы.</w:t>
      </w:r>
    </w:p>
    <w:p w:rsidR="00A01EC1" w:rsidRPr="008426E4" w:rsidRDefault="00A01EC1" w:rsidP="00EC5D1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32"/>
          <w:szCs w:val="32"/>
        </w:rPr>
      </w:pPr>
      <w:r w:rsidRPr="008426E4">
        <w:rPr>
          <w:rFonts w:ascii="Times New Roman" w:hAnsi="Times New Roman"/>
          <w:sz w:val="32"/>
          <w:szCs w:val="32"/>
        </w:rPr>
        <w:t xml:space="preserve">Семинар 15. </w:t>
      </w:r>
      <w:r w:rsidR="00A871D8" w:rsidRPr="008426E4">
        <w:rPr>
          <w:rFonts w:ascii="Times New Roman" w:hAnsi="Times New Roman"/>
          <w:sz w:val="32"/>
          <w:szCs w:val="32"/>
          <w:lang w:val="kk-KZ"/>
        </w:rPr>
        <w:t>Государственное принуждение и юридическая ответственность</w:t>
      </w:r>
    </w:p>
    <w:p w:rsidR="00A871D8" w:rsidRPr="008426E4" w:rsidRDefault="00A871D8" w:rsidP="00424FFF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32"/>
          <w:szCs w:val="32"/>
        </w:rPr>
      </w:pPr>
    </w:p>
    <w:p w:rsidR="00A01EC1" w:rsidRPr="008426E4" w:rsidRDefault="00A01EC1" w:rsidP="008426E4">
      <w:pPr>
        <w:pStyle w:val="21"/>
      </w:pPr>
      <w:bookmarkStart w:id="1" w:name="_Toc296209336"/>
      <w:r w:rsidRPr="008426E4">
        <w:t>ПЛАН СЕМИНАРСКИХ (ПРАКТИЧЕСКИХ) ЗАНЯТИЙ</w:t>
      </w:r>
      <w:bookmarkEnd w:id="1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969"/>
        <w:gridCol w:w="5528"/>
      </w:tblGrid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Неделя</w:t>
            </w:r>
          </w:p>
        </w:tc>
        <w:tc>
          <w:tcPr>
            <w:tcW w:w="3969" w:type="dxa"/>
          </w:tcPr>
          <w:p w:rsidR="00A01EC1" w:rsidRPr="00874E6E" w:rsidRDefault="00A01EC1" w:rsidP="008426E4">
            <w:pPr>
              <w:pStyle w:val="21"/>
            </w:pPr>
            <w:r w:rsidRPr="00874E6E">
              <w:t>Тема занятия</w:t>
            </w:r>
          </w:p>
        </w:tc>
        <w:tc>
          <w:tcPr>
            <w:tcW w:w="5528" w:type="dxa"/>
          </w:tcPr>
          <w:p w:rsidR="00A01EC1" w:rsidRPr="00874E6E" w:rsidRDefault="00A01EC1" w:rsidP="008426E4">
            <w:pPr>
              <w:pStyle w:val="21"/>
            </w:pPr>
            <w:r w:rsidRPr="00874E6E">
              <w:t>Рассматриваемые вопросы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lastRenderedPageBreak/>
              <w:t>1</w:t>
            </w:r>
          </w:p>
        </w:tc>
        <w:tc>
          <w:tcPr>
            <w:tcW w:w="3969" w:type="dxa"/>
          </w:tcPr>
          <w:p w:rsidR="001F2A06" w:rsidRPr="00A871D8" w:rsidRDefault="001F2A06" w:rsidP="001F2A06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Понятие налогового права, предмет, методы, система и источники налогового права, место налогового права в системе права</w:t>
            </w:r>
          </w:p>
          <w:p w:rsidR="00A01EC1" w:rsidRPr="001F2A06" w:rsidRDefault="00A01EC1" w:rsidP="00832CFF">
            <w:pPr>
              <w:pStyle w:val="Style17"/>
              <w:spacing w:after="20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F93B83" w:rsidRDefault="00F93B83" w:rsidP="00F93B83">
            <w:pPr>
              <w:jc w:val="both"/>
              <w:rPr>
                <w:snapToGrid w:val="0"/>
                <w:sz w:val="28"/>
                <w:szCs w:val="28"/>
                <w:lang w:val="kk-KZ"/>
              </w:rPr>
            </w:pPr>
            <w:r w:rsidRPr="00F93B83">
              <w:rPr>
                <w:rFonts w:ascii="Times New Roman" w:hAnsi="Times New Roman"/>
                <w:sz w:val="24"/>
                <w:szCs w:val="24"/>
                <w:lang w:val="kk-KZ"/>
              </w:rPr>
              <w:t>Понятие налогового права. Научные подходы к пониманию налогового права. Роль и значение налогового права в системе отечественного права. Налоговое права как наука, отрасль и дисциплина. Взаимосвязь налогового права с другими отраслями права.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B83">
              <w:rPr>
                <w:rFonts w:ascii="Times New Roman" w:hAnsi="Times New Roman"/>
                <w:sz w:val="24"/>
                <w:szCs w:val="24"/>
                <w:lang w:val="kk-KZ"/>
              </w:rPr>
              <w:t>Предмет налогового права. Методы налогового права.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B83">
              <w:rPr>
                <w:rFonts w:ascii="Times New Roman" w:hAnsi="Times New Roman"/>
                <w:sz w:val="24"/>
                <w:szCs w:val="24"/>
                <w:lang w:val="kk-KZ"/>
              </w:rPr>
              <w:t>Система налогового права. Основные институты налогового права и их общая характеристика.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Источники налогового права: научные, нормативные и практические. Договор как источник налогового права: научные споры. Международно правовая база налогового права.Этапы развития налогового права. Историко-правовые этапы развития налогового законодательства. 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2</w:t>
            </w:r>
          </w:p>
        </w:tc>
        <w:tc>
          <w:tcPr>
            <w:tcW w:w="3969" w:type="dxa"/>
          </w:tcPr>
          <w:p w:rsidR="004F0674" w:rsidRPr="00A871D8" w:rsidRDefault="004F0674" w:rsidP="004F0674">
            <w:pPr>
              <w:spacing w:before="0"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Налогово-правовые нормы и отношения.</w:t>
            </w:r>
          </w:p>
          <w:p w:rsidR="00A01EC1" w:rsidRPr="00424FFF" w:rsidRDefault="00A01EC1" w:rsidP="00295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B6677D" w:rsidRDefault="00B6677D" w:rsidP="004918A8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Понятие и специфика налоговых норм. Структура налоговых правовых норм. Классификация налоговых правовых норм. Материальные и процессуальные налоговые нормы. Регулятивная и закрепляющая функция налоговых норм.</w:t>
            </w:r>
            <w:r w:rsidR="004918A8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Основные и производные нормы налогового права.</w:t>
            </w:r>
            <w:r w:rsidR="004918A8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Пон</w:t>
            </w:r>
            <w:r w:rsidR="004918A8">
              <w:rPr>
                <w:rFonts w:ascii="Times New Roman" w:hAnsi="Times New Roman"/>
                <w:sz w:val="28"/>
                <w:szCs w:val="28"/>
                <w:lang w:val="kk-KZ" w:eastAsia="ko-KR"/>
              </w:rPr>
              <w:t>ятие налогового правоотношения.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Классифи</w:t>
            </w:r>
            <w:r w:rsidR="00986B3C">
              <w:rPr>
                <w:rFonts w:ascii="Times New Roman" w:hAnsi="Times New Roman"/>
                <w:sz w:val="28"/>
                <w:szCs w:val="28"/>
                <w:lang w:val="kk-KZ" w:eastAsia="ko-KR"/>
              </w:rPr>
              <w:t>кация налоговых правоотношений.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>Основания возникновения, изменения и прекращения налоговых правоотношений. Структура налоговых правоотношений: объект налоговых правоотношений, предмет налоговых правоотношений, субъекты налоговых правоотношений. Правовой статус субъектов налоговых правоотношений, нормативно-правовое закрепление. Права и обязанности налоговых органов и налогоплательщиков.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3</w:t>
            </w:r>
          </w:p>
        </w:tc>
        <w:tc>
          <w:tcPr>
            <w:tcW w:w="3969" w:type="dxa"/>
          </w:tcPr>
          <w:p w:rsidR="004F0674" w:rsidRPr="00A871D8" w:rsidRDefault="004F0674" w:rsidP="004F0674">
            <w:pPr>
              <w:pStyle w:val="a5"/>
              <w:rPr>
                <w:szCs w:val="28"/>
              </w:rPr>
            </w:pPr>
            <w:r w:rsidRPr="00A871D8">
              <w:rPr>
                <w:szCs w:val="28"/>
                <w:lang w:val="kk-KZ"/>
              </w:rPr>
              <w:t>Понятие налога, его элементы, виды и функции.</w:t>
            </w:r>
          </w:p>
          <w:p w:rsidR="00A01EC1" w:rsidRPr="00424FFF" w:rsidRDefault="00A01EC1" w:rsidP="00424FFF">
            <w:pPr>
              <w:pStyle w:val="Style17"/>
              <w:spacing w:after="20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1E4472" w:rsidRDefault="003A2FC8" w:rsidP="006C373F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5154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налогов.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История возникновения налогов.Общественно-политическая и социально-экономическая роль налогов. Публично-правовой характер налогов. Роль и значение налогов в жизни современного общества и государства. Финансово-правовая природа налогов. Функции налогов: понятие,виды, содержание. Функции налогов. </w:t>
            </w:r>
            <w:r w:rsidR="000170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Общая характеристика </w:t>
            </w:r>
            <w:r w:rsidR="0001702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видов налогов. </w:t>
            </w:r>
            <w:r w:rsidR="006C373F" w:rsidRPr="006C373F">
              <w:rPr>
                <w:rFonts w:ascii="Times New Roman" w:eastAsia="??" w:hAnsi="Times New Roman"/>
                <w:sz w:val="28"/>
                <w:szCs w:val="28"/>
                <w:lang w:val="kk-KZ" w:eastAsia="ko-KR"/>
              </w:rPr>
              <w:t xml:space="preserve">Элементы юридического состава налога. 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lastRenderedPageBreak/>
              <w:t>4</w:t>
            </w:r>
          </w:p>
        </w:tc>
        <w:tc>
          <w:tcPr>
            <w:tcW w:w="3969" w:type="dxa"/>
          </w:tcPr>
          <w:p w:rsidR="00A01EC1" w:rsidRPr="00832CFF" w:rsidRDefault="004F0674" w:rsidP="00295F01">
            <w:pPr>
              <w:pStyle w:val="a4"/>
              <w:spacing w:before="0" w:after="0"/>
              <w:jc w:val="both"/>
            </w:pPr>
            <w:r w:rsidRPr="00A871D8">
              <w:rPr>
                <w:sz w:val="28"/>
                <w:szCs w:val="28"/>
                <w:lang w:val="kk-KZ"/>
              </w:rPr>
              <w:t>Налогообложение и налоговая деятельность государства.</w:t>
            </w:r>
          </w:p>
        </w:tc>
        <w:tc>
          <w:tcPr>
            <w:tcW w:w="5528" w:type="dxa"/>
          </w:tcPr>
          <w:p w:rsidR="00A01EC1" w:rsidRPr="00536071" w:rsidRDefault="00536071" w:rsidP="00621D68">
            <w:pPr>
              <w:pStyle w:val="31"/>
              <w:tabs>
                <w:tab w:val="left" w:pos="284"/>
              </w:tabs>
              <w:spacing w:after="0"/>
              <w:ind w:left="284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налогообложения. Понятие налоговой деятельности государства. Соотношение налогообложения и налоговой деятельности. Методы налогообложения.Принципы налогообложения. </w:t>
            </w:r>
            <w:r w:rsidR="00621D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Система органов государственного управления в сфере налогообложения. </w:t>
            </w:r>
            <w:r w:rsidR="00621D68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Полномочия высших, центральных и местных органов государственного управления в области налогообложения: Президента РК, Парламента РК, Правительства РК, Верховного Суда РК, Конституционного Совета РК, Министерства финансов РК и его территориальных подразделений, акимов и маслихатов. Содержание прав и обязанностей Комитета государственных доходов в РК. </w:t>
            </w:r>
            <w:r w:rsidR="00621D68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Полномочия таможенных органов в установлении и взаимании таможенных  платежей. </w:t>
            </w:r>
            <w:r w:rsidR="00621D68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Правовой статус сотрудников Комитета государственных доходов.</w:t>
            </w:r>
          </w:p>
        </w:tc>
      </w:tr>
      <w:tr w:rsidR="00A01EC1" w:rsidRPr="002C40BB" w:rsidTr="002A6C9C">
        <w:trPr>
          <w:trHeight w:val="5115"/>
        </w:trPr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5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Правовые основы налоговых обязательств.</w:t>
            </w:r>
          </w:p>
          <w:p w:rsidR="00A01EC1" w:rsidRPr="00832CFF" w:rsidRDefault="00A01EC1" w:rsidP="00832CFF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1E4472" w:rsidRDefault="00A01EC1" w:rsidP="00295F0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6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Правовые основы налогового контроля.</w:t>
            </w:r>
          </w:p>
          <w:p w:rsidR="00A01EC1" w:rsidRPr="00832CFF" w:rsidRDefault="00A01EC1" w:rsidP="008426E4">
            <w:pPr>
              <w:pStyle w:val="21"/>
            </w:pPr>
          </w:p>
        </w:tc>
        <w:tc>
          <w:tcPr>
            <w:tcW w:w="5528" w:type="dxa"/>
          </w:tcPr>
          <w:p w:rsidR="00A01EC1" w:rsidRPr="00904E79" w:rsidRDefault="00904E79" w:rsidP="00ED4B0B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налогового контроля. Характерные черты налогового контроля, его задачи, цели и виды. Методы налогового контроля.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Правовое регулирование контрольной деятельности в сфере налогообложения. Формы реализации налоговой контрольной деятельности. Понятие и виды налоговых проверок, их правовое закрепление. Процедуры налоговых проверок. Сроки. Мониторинг налогоплательщиков. Контроль за подакцизными товарами, порядка учета, хранения, оценки и реализации имущества, обращенного в собственность государства и др. </w:t>
            </w:r>
            <w:r w:rsidR="007445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Права и обязанности подконтрольных организации и учреждений. Порядок и процедуры обжалования результатов налоговых проверок.</w:t>
            </w:r>
            <w:r w:rsidR="00ED4B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lastRenderedPageBreak/>
              <w:t>7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tabs>
                <w:tab w:val="left" w:pos="1783"/>
                <w:tab w:val="left" w:pos="1817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Индивидуальный подоходный налог. Корпоративный подоходный налог.</w:t>
            </w:r>
          </w:p>
          <w:p w:rsidR="00A01EC1" w:rsidRPr="00424FFF" w:rsidRDefault="00A01EC1" w:rsidP="00832CF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7D07F5" w:rsidRDefault="00302243" w:rsidP="006D53CF">
            <w:pPr>
              <w:pStyle w:val="31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Понятие и значение индивидуального подоходного налога. Объект налогообложения,субъекты налогообложения, определение налоговой базы, порядок исчисления и уплаты индивидуального подоходного налога. Ставки и сроки индивидуального подоходного налога. Льготы по индивидуальному подоходному налогу.</w:t>
            </w:r>
            <w:r w:rsidR="006D53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Понятие корпоративного налога. Объекты и субъекты налогообложения. Порядок определения налогооблагаемого дохода.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8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налог.</w:t>
            </w:r>
            <w:r w:rsidRPr="00A871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Рентный налог на экспорт. Специальные платежи и налоги </w:t>
            </w:r>
            <w:proofErr w:type="spellStart"/>
            <w:r w:rsidRPr="00A871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недропользователей</w:t>
            </w:r>
            <w:proofErr w:type="spellEnd"/>
            <w:r w:rsidRPr="00A871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A01EC1" w:rsidRPr="00874E6E" w:rsidRDefault="00A01EC1" w:rsidP="008426E4">
            <w:pPr>
              <w:pStyle w:val="21"/>
            </w:pPr>
          </w:p>
        </w:tc>
        <w:tc>
          <w:tcPr>
            <w:tcW w:w="5528" w:type="dxa"/>
          </w:tcPr>
          <w:p w:rsidR="00A01EC1" w:rsidRPr="001E4472" w:rsidRDefault="004755FD" w:rsidP="004755FD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и значение социального налога. Объект налогообложения, субъекты налогообложения. Ставки налога. Процессуальный порядок исчисления и уплаты налога. Специфика налогообложения недропользователей. Специальные платежи и налоги недропользователей: бонусы, роялти, налог на сверхприбыль. Объекты налогообложения. Плательщики налогов. Ставки и сроки налогообложения. Льготы по налогообложению. Рентный налог на экспортируемую нефть., газовый конденсант. 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9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</w:rPr>
              <w:t xml:space="preserve">Земельный налог. Единый земельный налог. Налог на </w:t>
            </w:r>
            <w:r w:rsidRPr="00A871D8">
              <w:rPr>
                <w:rFonts w:ascii="Times New Roman" w:hAnsi="Times New Roman"/>
                <w:sz w:val="28"/>
                <w:szCs w:val="28"/>
              </w:rPr>
              <w:lastRenderedPageBreak/>
              <w:t>транспортные средства. Налог на имущество.</w:t>
            </w:r>
          </w:p>
          <w:p w:rsidR="00A01EC1" w:rsidRPr="00424FFF" w:rsidRDefault="00A01EC1" w:rsidP="00424F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1E4472" w:rsidRDefault="00AA4907" w:rsidP="00AA4907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Понятие и значение земельного налога.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Объект налогообложения, субъекты налогообложения, определение налоговой базы, порядок исчисления и уплаты земельного налога. Ставки и сроки индивидуального подоходного налога. Корректировка ставок. Льготы по земельному налогу. Понятие налога на транспорт. Объекты и субъекты налогообложения. Ставки налога.Порядок исчисления и уплаты налога. Налоговый период. Налог на имуществофизических лиц, юридических лиц, предпринимателей. Субъекты и объекты налога на имущество.</w:t>
            </w:r>
            <w:r w:rsidRPr="00FB6E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Определение налоговой базы, порядок исчисления и уплаты земельного налога.  Ставки и сроки налогообложения. Налоговый период. 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lastRenderedPageBreak/>
              <w:t>10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</w:rPr>
              <w:t>Акцизы. Налог на добавленную стоимость.</w:t>
            </w:r>
          </w:p>
          <w:p w:rsidR="00A01EC1" w:rsidRPr="002F79E8" w:rsidRDefault="00A01EC1" w:rsidP="0051573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1E4472" w:rsidRDefault="00AB40F6" w:rsidP="00AB40F6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Понятие акцизов. Объект налогообложения, плательщики, порядок определения налоговой базы. Налоговый период, сроки  и порядок уплаты.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Понятие и значение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>налога 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Объект налогообложения, субъекты налогообложения, определение налоговой базы, порядок исчисления и уплаты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>налога 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Ставки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>налога 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Ставки </w:t>
            </w:r>
            <w:r w:rsidRPr="001165D5">
              <w:rPr>
                <w:rFonts w:ascii="Times New Roman" w:hAnsi="Times New Roman"/>
                <w:sz w:val="28"/>
                <w:szCs w:val="28"/>
                <w:lang w:val="kk-KZ"/>
              </w:rPr>
              <w:t>налога на добавочную стоимость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11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</w:rPr>
              <w:t>Налог на игорный бизнес. Фиксированный налог.</w:t>
            </w:r>
          </w:p>
          <w:p w:rsidR="00A01EC1" w:rsidRPr="00874E6E" w:rsidRDefault="00A01EC1" w:rsidP="00424FFF">
            <w:pPr>
              <w:autoSpaceDE w:val="0"/>
              <w:autoSpaceDN w:val="0"/>
              <w:adjustRightInd w:val="0"/>
              <w:spacing w:before="0" w:after="0"/>
              <w:jc w:val="left"/>
            </w:pPr>
          </w:p>
        </w:tc>
        <w:tc>
          <w:tcPr>
            <w:tcW w:w="5528" w:type="dxa"/>
          </w:tcPr>
          <w:p w:rsidR="00A01EC1" w:rsidRPr="008664D2" w:rsidRDefault="00116DC1" w:rsidP="00116DC1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FB6E6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онятие налога на игорный бизнес и фиксированного налога, их специфика.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Объекты налогообложения, субъекты налогообложения, определение налоговой базы, порядок исчисления и уплаты.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12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Другие обязательные платежи в бюджет. Государственная пошлина. Сборы.</w:t>
            </w:r>
          </w:p>
          <w:p w:rsidR="00A01EC1" w:rsidRPr="00874E6E" w:rsidRDefault="00A01EC1" w:rsidP="008426E4">
            <w:pPr>
              <w:pStyle w:val="21"/>
            </w:pPr>
          </w:p>
        </w:tc>
        <w:tc>
          <w:tcPr>
            <w:tcW w:w="5528" w:type="dxa"/>
          </w:tcPr>
          <w:p w:rsidR="00A01EC1" w:rsidRPr="001E4472" w:rsidRDefault="000E04CF" w:rsidP="001C3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Понятие государственных пошлин. Плательщики государственных пошлин, объекты взимания, ставки государственной пошлины, льготы, порядок уплаты и возврата государственной пошлины. Понятие сбора и его специфика.</w:t>
            </w:r>
            <w:r w:rsidR="001C32A7" w:rsidRP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="001C32A7" w:rsidRP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егистрационные сборы;</w:t>
            </w:r>
            <w:r w:rsidR="001C32A7" w:rsidRPr="001C32A7">
              <w:rPr>
                <w:rStyle w:val="apple-converted-space"/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1C32A7" w:rsidRPr="001C32A7">
              <w:rPr>
                <w:rFonts w:ascii="Times New Roman" w:hAnsi="Times New Roman"/>
                <w:sz w:val="28"/>
                <w:szCs w:val="28"/>
              </w:rPr>
              <w:br/>
            </w:r>
            <w:bookmarkStart w:id="2" w:name="z557"/>
            <w:bookmarkEnd w:id="2"/>
            <w:r w:rsidR="001C32A7" w:rsidRP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сбор за проезд автотранспортных средств по территории Республики Казахстан;</w:t>
            </w:r>
            <w:r w:rsidR="001C32A7" w:rsidRPr="001C32A7">
              <w:rPr>
                <w:rStyle w:val="apple-converted-space"/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1C32A7" w:rsidRPr="001C32A7">
              <w:rPr>
                <w:rFonts w:ascii="Times New Roman" w:hAnsi="Times New Roman"/>
                <w:sz w:val="28"/>
                <w:szCs w:val="28"/>
              </w:rPr>
              <w:br/>
            </w:r>
            <w:bookmarkStart w:id="3" w:name="z558"/>
            <w:bookmarkEnd w:id="3"/>
            <w:r w:rsidR="001C32A7" w:rsidRP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сбор с аукционов;</w:t>
            </w:r>
            <w:r w:rsidR="001C32A7" w:rsidRPr="001C32A7">
              <w:rPr>
                <w:rStyle w:val="apple-converted-space"/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1C32A7" w:rsidRPr="001C32A7">
              <w:rPr>
                <w:rFonts w:ascii="Times New Roman" w:hAnsi="Times New Roman"/>
                <w:sz w:val="28"/>
                <w:szCs w:val="28"/>
              </w:rPr>
              <w:br/>
            </w:r>
            <w:bookmarkStart w:id="4" w:name="z559"/>
            <w:bookmarkEnd w:id="4"/>
            <w:r w:rsidR="001C32A7" w:rsidRP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лицензионный сбор за право занятия отдельными видами деятельности;</w:t>
            </w:r>
            <w:r w:rsidR="001C32A7" w:rsidRPr="001C32A7">
              <w:rPr>
                <w:rStyle w:val="apple-converted-space"/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1C32A7" w:rsidRPr="001C32A7">
              <w:rPr>
                <w:rFonts w:ascii="Times New Roman" w:hAnsi="Times New Roman"/>
                <w:sz w:val="28"/>
                <w:szCs w:val="28"/>
              </w:rPr>
              <w:br/>
            </w:r>
            <w:bookmarkStart w:id="5" w:name="z560"/>
            <w:bookmarkEnd w:id="5"/>
            <w:r w:rsid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C32A7" w:rsidRP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сбор за выдачу разрешения на использование радиочастотного спектра телевизионным и радиовещательным организациям;</w:t>
            </w:r>
            <w:r w:rsidR="001C32A7" w:rsidRPr="001C32A7">
              <w:rPr>
                <w:rStyle w:val="apple-converted-space"/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bookmarkStart w:id="6" w:name="z8747"/>
            <w:bookmarkEnd w:id="6"/>
            <w:r w:rsidR="001C32A7" w:rsidRP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сбор за сертификацию в сфере гражданской авиации</w:t>
            </w:r>
            <w:r w:rsidR="001C32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01EC1" w:rsidRPr="002C40BB" w:rsidTr="002A6C9C">
        <w:trPr>
          <w:trHeight w:val="2372"/>
        </w:trPr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lastRenderedPageBreak/>
              <w:t>13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Плата. Таможенные платежи.</w:t>
            </w:r>
          </w:p>
          <w:p w:rsidR="00A01EC1" w:rsidRPr="00424FFF" w:rsidRDefault="00A01EC1" w:rsidP="00866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01EC1" w:rsidRPr="00F3790E" w:rsidRDefault="00F3790E" w:rsidP="00F3790E">
            <w:pPr>
              <w:pStyle w:val="a3"/>
              <w:jc w:val="both"/>
              <w:rPr>
                <w:sz w:val="28"/>
                <w:szCs w:val="28"/>
                <w:lang w:val="ru-MO"/>
              </w:rPr>
            </w:pPr>
            <w:proofErr w:type="gramStart"/>
            <w:r w:rsidRPr="00F3790E">
              <w:rPr>
                <w:sz w:val="28"/>
                <w:szCs w:val="28"/>
              </w:rPr>
              <w:t>Понятие платы и ее особенности: </w:t>
            </w:r>
            <w:r w:rsidRPr="00F3790E">
              <w:rPr>
                <w:sz w:val="28"/>
                <w:szCs w:val="28"/>
              </w:rPr>
              <w:br/>
            </w:r>
            <w:bookmarkStart w:id="7" w:name="z562"/>
            <w:bookmarkEnd w:id="7"/>
            <w:r w:rsidRPr="00F3790E">
              <w:rPr>
                <w:sz w:val="28"/>
                <w:szCs w:val="28"/>
              </w:rPr>
              <w:t>(за пользование земельными участками; </w:t>
            </w:r>
            <w:r w:rsidRPr="00F3790E">
              <w:rPr>
                <w:sz w:val="28"/>
                <w:szCs w:val="28"/>
              </w:rPr>
              <w:br/>
            </w:r>
            <w:bookmarkStart w:id="8" w:name="z563"/>
            <w:bookmarkEnd w:id="8"/>
            <w:r w:rsidRPr="00F3790E">
              <w:rPr>
                <w:sz w:val="28"/>
                <w:szCs w:val="28"/>
              </w:rPr>
              <w:t>за пользование водными ресурсами поверхностных источников; </w:t>
            </w:r>
            <w:bookmarkStart w:id="9" w:name="z564"/>
            <w:bookmarkEnd w:id="9"/>
            <w:r w:rsidRPr="00F3790E">
              <w:rPr>
                <w:sz w:val="28"/>
                <w:szCs w:val="28"/>
              </w:rPr>
              <w:t> за эмиссии в окружающую среду; </w:t>
            </w:r>
            <w:bookmarkStart w:id="10" w:name="z565"/>
            <w:bookmarkEnd w:id="10"/>
            <w:r w:rsidRPr="00F3790E">
              <w:rPr>
                <w:sz w:val="28"/>
                <w:szCs w:val="28"/>
              </w:rPr>
              <w:t>за пользование животным миром; </w:t>
            </w:r>
            <w:bookmarkStart w:id="11" w:name="z566"/>
            <w:bookmarkEnd w:id="11"/>
            <w:r w:rsidRPr="00F3790E">
              <w:rPr>
                <w:sz w:val="28"/>
                <w:szCs w:val="28"/>
              </w:rPr>
              <w:t> за лесные пользования;</w:t>
            </w:r>
            <w:bookmarkStart w:id="12" w:name="z567"/>
            <w:bookmarkEnd w:id="12"/>
            <w:r w:rsidR="004F0AB5">
              <w:rPr>
                <w:sz w:val="28"/>
                <w:szCs w:val="28"/>
              </w:rPr>
              <w:t xml:space="preserve"> </w:t>
            </w:r>
            <w:r w:rsidRPr="00F3790E">
              <w:rPr>
                <w:sz w:val="28"/>
                <w:szCs w:val="28"/>
              </w:rPr>
              <w:t>за использование особо охраняемых природных территорий; </w:t>
            </w:r>
            <w:bookmarkStart w:id="13" w:name="z568"/>
            <w:bookmarkEnd w:id="13"/>
            <w:r w:rsidRPr="00F3790E">
              <w:rPr>
                <w:sz w:val="28"/>
                <w:szCs w:val="28"/>
              </w:rPr>
              <w:t> за использование радиочастотного спектра;</w:t>
            </w:r>
            <w:bookmarkStart w:id="14" w:name="z569"/>
            <w:bookmarkEnd w:id="14"/>
            <w:r w:rsidRPr="00F3790E">
              <w:rPr>
                <w:sz w:val="28"/>
                <w:szCs w:val="28"/>
              </w:rPr>
              <w:t xml:space="preserve"> за предоставление междугородной и (или) международной телефонной связи, а также сотовой связи;</w:t>
            </w:r>
            <w:bookmarkStart w:id="15" w:name="z570"/>
            <w:bookmarkEnd w:id="15"/>
            <w:r w:rsidRPr="00F3790E">
              <w:rPr>
                <w:sz w:val="28"/>
                <w:szCs w:val="28"/>
              </w:rPr>
              <w:t xml:space="preserve"> за пользование судоходными водными путями;</w:t>
            </w:r>
            <w:proofErr w:type="gramEnd"/>
            <w:r w:rsidRPr="00F3790E">
              <w:rPr>
                <w:sz w:val="28"/>
                <w:szCs w:val="28"/>
              </w:rPr>
              <w:t xml:space="preserve"> </w:t>
            </w:r>
            <w:bookmarkStart w:id="16" w:name="z571"/>
            <w:bookmarkEnd w:id="16"/>
            <w:r w:rsidRPr="00F3790E">
              <w:rPr>
                <w:sz w:val="28"/>
                <w:szCs w:val="28"/>
              </w:rPr>
              <w:t xml:space="preserve"> за размещение наружной (визуальной) рекламы.</w:t>
            </w:r>
            <w:r w:rsidRPr="00F3790E">
              <w:rPr>
                <w:rStyle w:val="apple-converted-space"/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9912DE" w:rsidRPr="00F3790E">
              <w:rPr>
                <w:sz w:val="28"/>
                <w:szCs w:val="28"/>
                <w:lang w:val="kk-KZ"/>
              </w:rPr>
              <w:t>Понятие и специфика таможенных платежей. Плательщики</w:t>
            </w:r>
            <w:r w:rsidR="00E95308">
              <w:rPr>
                <w:sz w:val="28"/>
                <w:szCs w:val="28"/>
                <w:lang w:val="kk-KZ"/>
              </w:rPr>
              <w:t xml:space="preserve"> таможенных платежей</w:t>
            </w:r>
            <w:r w:rsidR="009912DE" w:rsidRPr="00F3790E">
              <w:rPr>
                <w:sz w:val="28"/>
                <w:szCs w:val="28"/>
                <w:lang w:val="kk-KZ"/>
              </w:rPr>
              <w:t>.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14</w:t>
            </w:r>
          </w:p>
        </w:tc>
        <w:tc>
          <w:tcPr>
            <w:tcW w:w="3969" w:type="dxa"/>
          </w:tcPr>
          <w:p w:rsidR="009912DE" w:rsidRPr="00A871D8" w:rsidRDefault="002F79E8" w:rsidP="009912DE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Style w:val="30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71D8">
              <w:rPr>
                <w:rFonts w:ascii="Times New Roman" w:hAnsi="Times New Roman"/>
                <w:sz w:val="28"/>
                <w:szCs w:val="28"/>
              </w:rPr>
              <w:t>Специальные</w:t>
            </w:r>
            <w:r w:rsidR="009912DE">
              <w:rPr>
                <w:sz w:val="28"/>
                <w:szCs w:val="28"/>
              </w:rPr>
              <w:t xml:space="preserve"> </w:t>
            </w:r>
            <w:r w:rsidR="009912DE" w:rsidRPr="00A871D8">
              <w:rPr>
                <w:rFonts w:ascii="Times New Roman" w:hAnsi="Times New Roman"/>
                <w:sz w:val="28"/>
                <w:szCs w:val="28"/>
              </w:rPr>
              <w:t>налоговые режимы.</w:t>
            </w:r>
          </w:p>
          <w:p w:rsidR="00A01EC1" w:rsidRPr="001E4472" w:rsidRDefault="00A01EC1" w:rsidP="002F79E8">
            <w:pPr>
              <w:pStyle w:val="a3"/>
              <w:jc w:val="both"/>
              <w:rPr>
                <w:lang w:val="ru-MO"/>
              </w:rPr>
            </w:pPr>
          </w:p>
        </w:tc>
        <w:tc>
          <w:tcPr>
            <w:tcW w:w="5528" w:type="dxa"/>
          </w:tcPr>
          <w:p w:rsidR="00A01EC1" w:rsidRPr="009912DE" w:rsidRDefault="009912DE" w:rsidP="00244F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Понятие специальных налоговых режимов. Условия применения специального налогового режима для субъектов малого бизнеса. Особенности применения специального нало</w:t>
            </w:r>
            <w:r w:rsidR="00244F3D">
              <w:rPr>
                <w:rFonts w:ascii="Times New Roman" w:hAnsi="Times New Roman"/>
                <w:sz w:val="28"/>
                <w:szCs w:val="28"/>
                <w:lang w:val="kk-KZ"/>
              </w:rPr>
              <w:t>гового режима для крестьянских  или фермерских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хозяйств.  </w:t>
            </w:r>
            <w:r w:rsidRPr="00244F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Особенности применения специального налогового режима для юридических лиц  производителей </w:t>
            </w:r>
            <w:r w:rsidR="00244F3D" w:rsidRPr="00244F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сельскохозяйственной продукции, продукции </w:t>
            </w:r>
            <w:proofErr w:type="spellStart"/>
            <w:r w:rsidR="00244F3D" w:rsidRPr="00244F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аквакультуры</w:t>
            </w:r>
            <w:proofErr w:type="spellEnd"/>
            <w:r w:rsidR="00244F3D" w:rsidRPr="00244F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(рыбоводства) и сельских потребительских кооперативов.</w:t>
            </w:r>
          </w:p>
        </w:tc>
      </w:tr>
      <w:tr w:rsidR="00A01EC1" w:rsidRPr="002C40BB" w:rsidTr="002A6C9C">
        <w:tc>
          <w:tcPr>
            <w:tcW w:w="1135" w:type="dxa"/>
          </w:tcPr>
          <w:p w:rsidR="00A01EC1" w:rsidRPr="00874E6E" w:rsidRDefault="00A01EC1" w:rsidP="008426E4">
            <w:pPr>
              <w:pStyle w:val="21"/>
            </w:pPr>
            <w:r w:rsidRPr="00874E6E">
              <w:t>15</w:t>
            </w:r>
          </w:p>
        </w:tc>
        <w:tc>
          <w:tcPr>
            <w:tcW w:w="3969" w:type="dxa"/>
          </w:tcPr>
          <w:p w:rsidR="002F79E8" w:rsidRPr="00A871D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1D8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Государственное принуждение и юридическая ответственность</w:t>
            </w:r>
          </w:p>
          <w:p w:rsidR="002F79E8" w:rsidRDefault="002F79E8" w:rsidP="002F79E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1EC1" w:rsidRPr="00874E6E" w:rsidRDefault="00A01EC1" w:rsidP="00295F01">
            <w:pPr>
              <w:pStyle w:val="a3"/>
              <w:jc w:val="both"/>
            </w:pPr>
          </w:p>
        </w:tc>
        <w:tc>
          <w:tcPr>
            <w:tcW w:w="5528" w:type="dxa"/>
          </w:tcPr>
          <w:p w:rsidR="00A01EC1" w:rsidRPr="00727082" w:rsidRDefault="00727082" w:rsidP="00727082">
            <w:pPr>
              <w:pStyle w:val="31"/>
              <w:tabs>
                <w:tab w:val="left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75071A">
              <w:rPr>
                <w:rFonts w:ascii="Times New Roman" w:eastAsia="??" w:hAnsi="Times New Roman"/>
                <w:sz w:val="28"/>
                <w:szCs w:val="28"/>
                <w:lang w:eastAsia="ko-KR"/>
              </w:rPr>
              <w:t xml:space="preserve">Понятие и специфика правового принуждения </w:t>
            </w:r>
            <w:r>
              <w:rPr>
                <w:rFonts w:ascii="Times New Roman" w:eastAsia="??" w:hAnsi="Times New Roman"/>
                <w:sz w:val="28"/>
                <w:szCs w:val="28"/>
                <w:lang w:eastAsia="ko-KR"/>
              </w:rPr>
              <w:t xml:space="preserve">в области налогообложения. Меры государственного принуждения в области налогообложения. Юридическая ответственность за правонарушения в области налогообложения, классификация, </w:t>
            </w:r>
            <w:r>
              <w:rPr>
                <w:rFonts w:ascii="Times New Roman" w:eastAsia="??" w:hAnsi="Times New Roman"/>
                <w:sz w:val="28"/>
                <w:szCs w:val="28"/>
                <w:lang w:eastAsia="ko-KR"/>
              </w:rPr>
              <w:lastRenderedPageBreak/>
              <w:t>специфика. Полномочия государственных органов по применению мер правового принуждения в области налогообложения.</w:t>
            </w:r>
          </w:p>
        </w:tc>
      </w:tr>
    </w:tbl>
    <w:p w:rsidR="00A01EC1" w:rsidRPr="008426E4" w:rsidRDefault="00A01EC1" w:rsidP="00AE21EF">
      <w:pPr>
        <w:rPr>
          <w:rFonts w:ascii="Times New Roman" w:hAnsi="Times New Roman"/>
          <w:b/>
          <w:sz w:val="28"/>
          <w:szCs w:val="28"/>
        </w:rPr>
      </w:pPr>
      <w:r w:rsidRPr="008426E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="00A36B7D" w:rsidRPr="008426E4">
        <w:rPr>
          <w:rFonts w:ascii="Times New Roman" w:hAnsi="Times New Roman"/>
          <w:b/>
          <w:sz w:val="28"/>
          <w:szCs w:val="28"/>
        </w:rPr>
        <w:t>:</w:t>
      </w:r>
    </w:p>
    <w:p w:rsidR="00A36B7D" w:rsidRPr="008426E4" w:rsidRDefault="00A36B7D" w:rsidP="00A36B7D">
      <w:pPr>
        <w:rPr>
          <w:rFonts w:ascii="Times New Roman" w:hAnsi="Times New Roman"/>
          <w:b/>
          <w:sz w:val="28"/>
          <w:szCs w:val="28"/>
        </w:rPr>
      </w:pPr>
      <w:r w:rsidRPr="008426E4">
        <w:rPr>
          <w:rFonts w:ascii="Times New Roman" w:hAnsi="Times New Roman"/>
          <w:b/>
          <w:sz w:val="28"/>
          <w:szCs w:val="28"/>
        </w:rPr>
        <w:t>Основная: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6B7D">
        <w:rPr>
          <w:rFonts w:ascii="Times New Roman" w:hAnsi="Times New Roman"/>
          <w:color w:val="000000"/>
          <w:sz w:val="28"/>
          <w:szCs w:val="28"/>
        </w:rPr>
        <w:t>Кодекс Республики Казахстан от 10 декабря 2008 года № 99-IV «О налогах и других обязательных платежах в бюджет» (Налоговый кодекс) (с изменениями и дополнениями по состоянию на 01.09.2015 г.)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36B7D">
        <w:rPr>
          <w:rFonts w:ascii="Times New Roman" w:hAnsi="Times New Roman"/>
          <w:color w:val="000000"/>
          <w:sz w:val="28"/>
          <w:szCs w:val="28"/>
        </w:rPr>
        <w:t>Бюджетный кодекс Республики Казахстан от 4 декабря 2008 года № 95-IV (с изменениями и дополнениями по состоянию на 01.09.2015 г.)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pacing w:val="2"/>
          <w:sz w:val="28"/>
          <w:szCs w:val="28"/>
        </w:rPr>
      </w:pPr>
      <w:r w:rsidRPr="00A36B7D">
        <w:rPr>
          <w:rFonts w:ascii="Times New Roman" w:hAnsi="Times New Roman"/>
          <w:spacing w:val="2"/>
          <w:sz w:val="28"/>
          <w:szCs w:val="28"/>
        </w:rPr>
        <w:t>Кодекс Республики Казахстан от 5 июля 2014 года № 235-V «</w:t>
      </w:r>
      <w:r w:rsidRPr="00A36B7D">
        <w:rPr>
          <w:rFonts w:ascii="Times New Roman" w:hAnsi="Times New Roman"/>
          <w:sz w:val="28"/>
          <w:szCs w:val="28"/>
        </w:rPr>
        <w:t>Об административных правонарушениях»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pacing w:val="2"/>
          <w:sz w:val="28"/>
          <w:szCs w:val="28"/>
        </w:rPr>
      </w:pPr>
      <w:r w:rsidRPr="00A36B7D">
        <w:rPr>
          <w:rFonts w:ascii="Times New Roman" w:hAnsi="Times New Roman"/>
          <w:sz w:val="28"/>
          <w:szCs w:val="28"/>
        </w:rPr>
        <w:t xml:space="preserve">Уголовный кодекс Республики Казахстан </w:t>
      </w:r>
      <w:r w:rsidRPr="00A36B7D">
        <w:rPr>
          <w:rFonts w:ascii="Times New Roman" w:hAnsi="Times New Roman"/>
          <w:spacing w:val="2"/>
          <w:sz w:val="28"/>
          <w:szCs w:val="28"/>
        </w:rPr>
        <w:t xml:space="preserve"> от 3 июля 2014 года № 226-V 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6B7D">
        <w:rPr>
          <w:rFonts w:ascii="Times New Roman" w:hAnsi="Times New Roman"/>
          <w:color w:val="000000"/>
          <w:sz w:val="28"/>
          <w:szCs w:val="28"/>
        </w:rPr>
        <w:t>Кодекс Республики Казахстан от 30 июня 2010 года № 296-IV «О таможенном деле в Республике Казахстан» (Таможенный кодекс).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6B7D">
        <w:rPr>
          <w:rFonts w:ascii="Times New Roman" w:hAnsi="Times New Roman"/>
          <w:sz w:val="28"/>
          <w:szCs w:val="28"/>
          <w:lang w:eastAsia="ru-RU"/>
        </w:rPr>
        <w:t xml:space="preserve">Худяков А.И. Налоговое право Республики Казахстан. Общая часть: Учебник. – </w:t>
      </w:r>
      <w:proofErr w:type="spellStart"/>
      <w:r w:rsidRPr="00A36B7D">
        <w:rPr>
          <w:rFonts w:ascii="Times New Roman" w:hAnsi="Times New Roman"/>
          <w:sz w:val="28"/>
          <w:szCs w:val="28"/>
          <w:lang w:eastAsia="ru-RU"/>
        </w:rPr>
        <w:t>Алматы</w:t>
      </w:r>
      <w:proofErr w:type="spellEnd"/>
      <w:r w:rsidRPr="00A36B7D">
        <w:rPr>
          <w:rFonts w:ascii="Times New Roman" w:hAnsi="Times New Roman"/>
          <w:sz w:val="28"/>
          <w:szCs w:val="28"/>
          <w:lang w:eastAsia="ru-RU"/>
        </w:rPr>
        <w:t xml:space="preserve">: ТОО «Издательство НОРМА-К», 2003, - 512 </w:t>
      </w:r>
      <w:proofErr w:type="gramStart"/>
      <w:r w:rsidRPr="00A36B7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36B7D">
        <w:rPr>
          <w:rFonts w:ascii="Times New Roman" w:hAnsi="Times New Roman"/>
          <w:sz w:val="28"/>
          <w:szCs w:val="28"/>
          <w:lang w:eastAsia="ru-RU"/>
        </w:rPr>
        <w:t>.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6B7D">
        <w:rPr>
          <w:rFonts w:ascii="Times New Roman" w:hAnsi="Times New Roman"/>
          <w:sz w:val="28"/>
          <w:szCs w:val="28"/>
          <w:lang w:eastAsia="ru-RU"/>
        </w:rPr>
        <w:t xml:space="preserve">Порохов Е.В. Теория и практика налогового права Республики Казахстан: основные проблемы. – </w:t>
      </w:r>
      <w:proofErr w:type="spellStart"/>
      <w:r w:rsidRPr="00A36B7D">
        <w:rPr>
          <w:rFonts w:ascii="Times New Roman" w:hAnsi="Times New Roman"/>
          <w:sz w:val="28"/>
          <w:szCs w:val="28"/>
          <w:lang w:eastAsia="ru-RU"/>
        </w:rPr>
        <w:t>Алматы</w:t>
      </w:r>
      <w:proofErr w:type="spellEnd"/>
      <w:r w:rsidRPr="00A36B7D">
        <w:rPr>
          <w:rFonts w:ascii="Times New Roman" w:hAnsi="Times New Roman"/>
          <w:sz w:val="28"/>
          <w:szCs w:val="28"/>
          <w:lang w:eastAsia="ru-RU"/>
        </w:rPr>
        <w:t xml:space="preserve">, ТОО «Налоговый эксперт», 2009. – 456 </w:t>
      </w:r>
      <w:proofErr w:type="gramStart"/>
      <w:r w:rsidRPr="00A36B7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36B7D">
        <w:rPr>
          <w:rFonts w:ascii="Times New Roman" w:hAnsi="Times New Roman"/>
          <w:sz w:val="28"/>
          <w:szCs w:val="28"/>
          <w:lang w:eastAsia="ru-RU"/>
        </w:rPr>
        <w:t>.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6B7D">
        <w:rPr>
          <w:rFonts w:ascii="Times New Roman" w:hAnsi="Times New Roman"/>
          <w:sz w:val="28"/>
          <w:szCs w:val="28"/>
          <w:lang w:eastAsia="ru-RU"/>
        </w:rPr>
        <w:t xml:space="preserve">Порохов Е.В. Теория налоговых обязательств. – </w:t>
      </w:r>
      <w:proofErr w:type="spellStart"/>
      <w:r w:rsidRPr="00A36B7D">
        <w:rPr>
          <w:rFonts w:ascii="Times New Roman" w:hAnsi="Times New Roman"/>
          <w:sz w:val="28"/>
          <w:szCs w:val="28"/>
          <w:lang w:eastAsia="ru-RU"/>
        </w:rPr>
        <w:t>Алматы</w:t>
      </w:r>
      <w:proofErr w:type="spellEnd"/>
      <w:r w:rsidRPr="00A36B7D">
        <w:rPr>
          <w:rFonts w:ascii="Times New Roman" w:hAnsi="Times New Roman"/>
          <w:sz w:val="28"/>
          <w:szCs w:val="28"/>
          <w:lang w:eastAsia="ru-RU"/>
        </w:rPr>
        <w:t>, 2001. – 168 с.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36B7D">
        <w:rPr>
          <w:rFonts w:ascii="Times New Roman" w:hAnsi="Times New Roman"/>
          <w:sz w:val="28"/>
          <w:szCs w:val="28"/>
          <w:lang w:eastAsia="ru-RU"/>
        </w:rPr>
        <w:t>Боранбаева</w:t>
      </w:r>
      <w:proofErr w:type="spellEnd"/>
      <w:r w:rsidRPr="00A36B7D">
        <w:rPr>
          <w:rFonts w:ascii="Times New Roman" w:hAnsi="Times New Roman"/>
          <w:sz w:val="28"/>
          <w:szCs w:val="28"/>
          <w:lang w:eastAsia="ru-RU"/>
        </w:rPr>
        <w:t xml:space="preserve"> А. Е. Налоговое право Республики Казахстан: Учебное пособие. - </w:t>
      </w:r>
      <w:proofErr w:type="spellStart"/>
      <w:r w:rsidRPr="00A36B7D">
        <w:rPr>
          <w:rFonts w:ascii="Times New Roman" w:hAnsi="Times New Roman"/>
          <w:sz w:val="28"/>
          <w:szCs w:val="28"/>
          <w:lang w:eastAsia="ru-RU"/>
        </w:rPr>
        <w:t>Алматы</w:t>
      </w:r>
      <w:proofErr w:type="spellEnd"/>
      <w:r w:rsidRPr="00A36B7D">
        <w:rPr>
          <w:rFonts w:ascii="Times New Roman" w:hAnsi="Times New Roman"/>
          <w:sz w:val="28"/>
          <w:szCs w:val="28"/>
          <w:lang w:eastAsia="ru-RU"/>
        </w:rPr>
        <w:t>:, 2012. -246 с.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6B7D">
        <w:rPr>
          <w:rFonts w:ascii="Times New Roman" w:hAnsi="Times New Roman"/>
          <w:sz w:val="28"/>
          <w:szCs w:val="28"/>
          <w:lang w:eastAsia="ru-RU"/>
        </w:rPr>
        <w:t xml:space="preserve">Налоговое право: Учебное пособие. Под ред. С.Г. Пепеляева. – М., ИД ФБК-ПРЕСС, 2000. – 608 </w:t>
      </w:r>
      <w:proofErr w:type="gramStart"/>
      <w:r w:rsidRPr="00A36B7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36B7D">
        <w:rPr>
          <w:rFonts w:ascii="Times New Roman" w:hAnsi="Times New Roman"/>
          <w:sz w:val="28"/>
          <w:szCs w:val="28"/>
          <w:lang w:eastAsia="ru-RU"/>
        </w:rPr>
        <w:t>.</w:t>
      </w:r>
    </w:p>
    <w:p w:rsidR="00A36B7D" w:rsidRPr="00A36B7D" w:rsidRDefault="00A36B7D" w:rsidP="00A36B7D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36B7D">
        <w:rPr>
          <w:rFonts w:ascii="Times New Roman" w:hAnsi="Times New Roman"/>
          <w:sz w:val="28"/>
          <w:szCs w:val="28"/>
          <w:lang w:eastAsia="ru-RU"/>
        </w:rPr>
        <w:t>Алибеков</w:t>
      </w:r>
      <w:proofErr w:type="spellEnd"/>
      <w:r w:rsidRPr="00A36B7D">
        <w:rPr>
          <w:rFonts w:ascii="Times New Roman" w:hAnsi="Times New Roman"/>
          <w:sz w:val="28"/>
          <w:szCs w:val="28"/>
          <w:lang w:eastAsia="ru-RU"/>
        </w:rPr>
        <w:t xml:space="preserve"> С.Т. Налоговое право Республики Казахстан. – </w:t>
      </w:r>
      <w:proofErr w:type="spellStart"/>
      <w:r w:rsidRPr="00A36B7D">
        <w:rPr>
          <w:rFonts w:ascii="Times New Roman" w:hAnsi="Times New Roman"/>
          <w:sz w:val="28"/>
          <w:szCs w:val="28"/>
          <w:lang w:eastAsia="ru-RU"/>
        </w:rPr>
        <w:t>Алматы</w:t>
      </w:r>
      <w:proofErr w:type="spellEnd"/>
      <w:r w:rsidRPr="00A36B7D">
        <w:rPr>
          <w:rFonts w:ascii="Times New Roman" w:hAnsi="Times New Roman"/>
          <w:sz w:val="28"/>
          <w:szCs w:val="28"/>
          <w:lang w:eastAsia="ru-RU"/>
        </w:rPr>
        <w:t>, 2012.</w:t>
      </w:r>
    </w:p>
    <w:p w:rsidR="00A36B7D" w:rsidRPr="008426E4" w:rsidRDefault="00A36B7D" w:rsidP="008426E4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8426E4">
        <w:rPr>
          <w:rFonts w:ascii="Times New Roman" w:hAnsi="Times New Roman"/>
          <w:b/>
          <w:sz w:val="28"/>
          <w:szCs w:val="28"/>
          <w:lang w:val="kk-KZ"/>
        </w:rPr>
        <w:t>Дополнительная:</w:t>
      </w:r>
    </w:p>
    <w:p w:rsidR="00A36B7D" w:rsidRPr="00A36B7D" w:rsidRDefault="00A36B7D" w:rsidP="00A36B7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36B7D">
        <w:rPr>
          <w:rFonts w:ascii="Times New Roman" w:hAnsi="Times New Roman"/>
          <w:sz w:val="28"/>
          <w:szCs w:val="28"/>
          <w:lang w:val="kk-KZ"/>
        </w:rPr>
        <w:t>Пороход Е.В. Постатейный научно-практический комментарий в Налоговому Кодексу Республики Казахстан (общая часть) – Алматы, ТОО «Финпресс», 2006. – 352 с.</w:t>
      </w:r>
    </w:p>
    <w:p w:rsidR="00A36B7D" w:rsidRPr="00A36B7D" w:rsidRDefault="00A36B7D" w:rsidP="00A36B7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36B7D">
        <w:rPr>
          <w:rFonts w:ascii="Times New Roman" w:hAnsi="Times New Roman"/>
          <w:sz w:val="28"/>
          <w:szCs w:val="28"/>
          <w:lang w:val="kk-KZ"/>
        </w:rPr>
        <w:t>Пороход Е.В. Постатейный научно-практический комментарий в Налоговому Кодексу Республики Казахстан (особенная часть) – Алматы, ТОО «Финпресс», 2007. – 400 с.</w:t>
      </w:r>
    </w:p>
    <w:p w:rsidR="00A36B7D" w:rsidRPr="00A36B7D" w:rsidRDefault="00A36B7D" w:rsidP="00A36B7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36B7D">
        <w:rPr>
          <w:rFonts w:ascii="Times New Roman" w:hAnsi="Times New Roman"/>
          <w:sz w:val="28"/>
          <w:szCs w:val="28"/>
          <w:lang w:val="kk-KZ"/>
        </w:rPr>
        <w:t>Судебная практика применения налогового и таможенного законодательства. Актобе. 2012. -228 с.</w:t>
      </w:r>
    </w:p>
    <w:p w:rsidR="00A36B7D" w:rsidRPr="00A36B7D" w:rsidRDefault="00A36B7D" w:rsidP="00A36B7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36B7D">
        <w:rPr>
          <w:rFonts w:ascii="Times New Roman" w:hAnsi="Times New Roman"/>
          <w:sz w:val="28"/>
          <w:szCs w:val="28"/>
          <w:lang w:val="kk-KZ"/>
        </w:rPr>
        <w:t>Комментарий к Налоговому Кодексу Республики Казахстан. Обшая часть и налоговое администрирование. Под ред. Порохова Е.В. – Алматы. НИИ финансовго и налогового права, 2009. – 696 с.</w:t>
      </w:r>
    </w:p>
    <w:p w:rsidR="00A36B7D" w:rsidRPr="00A36B7D" w:rsidRDefault="00A36B7D" w:rsidP="00A01EC1">
      <w:pPr>
        <w:pStyle w:val="a7"/>
        <w:keepNext/>
        <w:numPr>
          <w:ilvl w:val="0"/>
          <w:numId w:val="10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36B7D">
        <w:rPr>
          <w:rFonts w:ascii="Times New Roman" w:hAnsi="Times New Roman"/>
          <w:sz w:val="28"/>
          <w:szCs w:val="28"/>
          <w:lang w:val="kk-KZ"/>
        </w:rPr>
        <w:t xml:space="preserve">Исраилова А.М. Теория налогового права Кыргызской Республики. Бишкек. «Университет».  2011. 272 с.  </w:t>
      </w:r>
    </w:p>
    <w:sectPr w:rsidR="00A36B7D" w:rsidRPr="00A36B7D" w:rsidSect="00A74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A2" w:rsidRDefault="001A2CA2" w:rsidP="006A4933">
      <w:pPr>
        <w:spacing w:before="0" w:after="0"/>
      </w:pPr>
      <w:r>
        <w:separator/>
      </w:r>
    </w:p>
  </w:endnote>
  <w:endnote w:type="continuationSeparator" w:id="0">
    <w:p w:rsidR="001A2CA2" w:rsidRDefault="001A2CA2" w:rsidP="006A49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A2" w:rsidRDefault="001A2CA2" w:rsidP="006A4933">
      <w:pPr>
        <w:spacing w:before="0" w:after="0"/>
      </w:pPr>
      <w:r>
        <w:separator/>
      </w:r>
    </w:p>
  </w:footnote>
  <w:footnote w:type="continuationSeparator" w:id="0">
    <w:p w:rsidR="001A2CA2" w:rsidRDefault="001A2CA2" w:rsidP="006A493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Pr="00C920FF" w:rsidRDefault="006A4933" w:rsidP="006A4933">
    <w:pPr>
      <w:pStyle w:val="aa"/>
    </w:pPr>
    <w:r w:rsidRPr="00C920FF">
      <w:t xml:space="preserve">учебно-методический комплекс </w:t>
    </w:r>
    <w:proofErr w:type="spellStart"/>
    <w:r w:rsidRPr="00C920FF">
      <w:t>КазНУ</w:t>
    </w:r>
    <w:proofErr w:type="spellEnd"/>
    <w:r w:rsidRPr="00C920FF">
      <w:t xml:space="preserve"> им. Аль </w:t>
    </w:r>
    <w:proofErr w:type="gramStart"/>
    <w:r w:rsidRPr="00C920FF">
      <w:t>-</w:t>
    </w:r>
    <w:proofErr w:type="spellStart"/>
    <w:r w:rsidRPr="00C920FF">
      <w:t>Ф</w:t>
    </w:r>
    <w:proofErr w:type="gramEnd"/>
    <w:r w:rsidRPr="00C920FF">
      <w:t>араби</w:t>
    </w:r>
    <w:proofErr w:type="spellEnd"/>
  </w:p>
  <w:p w:rsidR="006A4933" w:rsidRDefault="006A493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100"/>
    <w:multiLevelType w:val="hybridMultilevel"/>
    <w:tmpl w:val="D8BE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927"/>
    <w:multiLevelType w:val="hybridMultilevel"/>
    <w:tmpl w:val="3CC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8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471FE0"/>
    <w:multiLevelType w:val="hybridMultilevel"/>
    <w:tmpl w:val="F4B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255A"/>
    <w:multiLevelType w:val="hybridMultilevel"/>
    <w:tmpl w:val="5CF8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63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3B127E"/>
    <w:multiLevelType w:val="hybridMultilevel"/>
    <w:tmpl w:val="4BF6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7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D923C0"/>
    <w:multiLevelType w:val="hybridMultilevel"/>
    <w:tmpl w:val="766A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B70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EC1"/>
    <w:rsid w:val="00017024"/>
    <w:rsid w:val="000E04CF"/>
    <w:rsid w:val="000E126C"/>
    <w:rsid w:val="000E1A3C"/>
    <w:rsid w:val="000E41EF"/>
    <w:rsid w:val="0011312F"/>
    <w:rsid w:val="00116DC1"/>
    <w:rsid w:val="00163578"/>
    <w:rsid w:val="001A2CA2"/>
    <w:rsid w:val="001C32A7"/>
    <w:rsid w:val="001F2A06"/>
    <w:rsid w:val="00227CE2"/>
    <w:rsid w:val="00244F3D"/>
    <w:rsid w:val="00292377"/>
    <w:rsid w:val="002A6C9C"/>
    <w:rsid w:val="002F79E8"/>
    <w:rsid w:val="00302243"/>
    <w:rsid w:val="003A2FC8"/>
    <w:rsid w:val="00424FFF"/>
    <w:rsid w:val="004755FD"/>
    <w:rsid w:val="004918A8"/>
    <w:rsid w:val="004F0674"/>
    <w:rsid w:val="004F0AB5"/>
    <w:rsid w:val="00515734"/>
    <w:rsid w:val="00536071"/>
    <w:rsid w:val="005C2AF3"/>
    <w:rsid w:val="00621D68"/>
    <w:rsid w:val="006A4933"/>
    <w:rsid w:val="006C373F"/>
    <w:rsid w:val="006D53CF"/>
    <w:rsid w:val="00703FAF"/>
    <w:rsid w:val="00727082"/>
    <w:rsid w:val="007445E0"/>
    <w:rsid w:val="007A0A74"/>
    <w:rsid w:val="007D07F5"/>
    <w:rsid w:val="007E6C4F"/>
    <w:rsid w:val="007F62AB"/>
    <w:rsid w:val="00831A57"/>
    <w:rsid w:val="00832CFF"/>
    <w:rsid w:val="008426E4"/>
    <w:rsid w:val="008664D2"/>
    <w:rsid w:val="008C7B72"/>
    <w:rsid w:val="00904E79"/>
    <w:rsid w:val="00986B3C"/>
    <w:rsid w:val="009912DE"/>
    <w:rsid w:val="009B7F9F"/>
    <w:rsid w:val="00A01EC1"/>
    <w:rsid w:val="00A23482"/>
    <w:rsid w:val="00A36B7D"/>
    <w:rsid w:val="00A74203"/>
    <w:rsid w:val="00A809A5"/>
    <w:rsid w:val="00A871D8"/>
    <w:rsid w:val="00A90946"/>
    <w:rsid w:val="00AA4907"/>
    <w:rsid w:val="00AB40F6"/>
    <w:rsid w:val="00AE21EF"/>
    <w:rsid w:val="00AF143F"/>
    <w:rsid w:val="00B6677D"/>
    <w:rsid w:val="00C30144"/>
    <w:rsid w:val="00C46D2D"/>
    <w:rsid w:val="00C6729A"/>
    <w:rsid w:val="00D638F8"/>
    <w:rsid w:val="00DA4079"/>
    <w:rsid w:val="00DD6CF7"/>
    <w:rsid w:val="00DE33F9"/>
    <w:rsid w:val="00E95308"/>
    <w:rsid w:val="00EC5D18"/>
    <w:rsid w:val="00ED4B0B"/>
    <w:rsid w:val="00F11EBC"/>
    <w:rsid w:val="00F3790E"/>
    <w:rsid w:val="00F61EB5"/>
    <w:rsid w:val="00F9209F"/>
    <w:rsid w:val="00F93B83"/>
    <w:rsid w:val="00FC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1EC1"/>
    <w:pPr>
      <w:keepNext/>
      <w:spacing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1E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01EC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01EC1"/>
    <w:pPr>
      <w:spacing w:before="72" w:after="7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link w:val="22"/>
    <w:autoRedefine/>
    <w:rsid w:val="008426E4"/>
    <w:pPr>
      <w:autoSpaceDE w:val="0"/>
      <w:autoSpaceDN w:val="0"/>
      <w:spacing w:before="0" w:after="200" w:line="276" w:lineRule="auto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customStyle="1" w:styleId="22">
    <w:name w:val="Оглавление 2 Знак"/>
    <w:basedOn w:val="a0"/>
    <w:link w:val="21"/>
    <w:rsid w:val="008426E4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Style17">
    <w:name w:val="Style17"/>
    <w:basedOn w:val="a"/>
    <w:rsid w:val="00A01EC1"/>
    <w:pPr>
      <w:widowControl w:val="0"/>
      <w:autoSpaceDE w:val="0"/>
      <w:autoSpaceDN w:val="0"/>
      <w:adjustRightInd w:val="0"/>
      <w:spacing w:before="0" w:after="0" w:line="32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832CFF"/>
    <w:pPr>
      <w:spacing w:before="0" w:after="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32C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32CF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DD6CF7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D6CF7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DD6CF7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6CF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6A49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4933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C67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iPriority w:val="99"/>
    <w:unhideWhenUsed/>
    <w:rsid w:val="00A871D8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871D8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244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катрина</dc:creator>
  <cp:keywords/>
  <dc:description/>
  <cp:lastModifiedBy>Назка</cp:lastModifiedBy>
  <cp:revision>52</cp:revision>
  <cp:lastPrinted>2013-01-11T16:03:00Z</cp:lastPrinted>
  <dcterms:created xsi:type="dcterms:W3CDTF">2012-08-29T09:07:00Z</dcterms:created>
  <dcterms:modified xsi:type="dcterms:W3CDTF">2015-09-12T19:17:00Z</dcterms:modified>
</cp:coreProperties>
</file>